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hint="eastAsia" w:ascii="宋体" w:hAnsi="宋体" w:eastAsia="宋体"/>
          <w:bCs/>
          <w:sz w:val="36"/>
          <w:szCs w:val="36"/>
        </w:rPr>
        <w:t>“海澜之家”</w:t>
      </w:r>
      <w:r>
        <w:rPr>
          <w:rFonts w:ascii="宋体" w:hAnsi="宋体" w:eastAsia="宋体"/>
          <w:bCs/>
          <w:sz w:val="36"/>
          <w:szCs w:val="36"/>
        </w:rPr>
        <w:t>2025年</w:t>
      </w:r>
      <w:r>
        <w:rPr>
          <w:rFonts w:hint="eastAsia" w:ascii="宋体" w:hAnsi="宋体" w:eastAsia="宋体"/>
          <w:bCs/>
          <w:sz w:val="36"/>
          <w:szCs w:val="36"/>
        </w:rPr>
        <w:t>中</w:t>
      </w:r>
      <w:r>
        <w:rPr>
          <w:rFonts w:ascii="宋体" w:hAnsi="宋体" w:eastAsia="宋体"/>
          <w:bCs/>
          <w:sz w:val="36"/>
          <w:szCs w:val="36"/>
        </w:rPr>
        <w:t>国马术</w:t>
      </w:r>
      <w:r>
        <w:rPr>
          <w:rFonts w:hint="eastAsia" w:ascii="宋体" w:hAnsi="宋体" w:eastAsia="宋体"/>
          <w:bCs/>
          <w:sz w:val="36"/>
          <w:szCs w:val="36"/>
        </w:rPr>
        <w:t>盛装舞步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hint="eastAsia" w:ascii="宋体" w:hAnsi="宋体" w:eastAsia="宋体"/>
          <w:bCs/>
          <w:sz w:val="36"/>
          <w:szCs w:val="36"/>
        </w:rPr>
        <w:t>青少年冠军杯</w:t>
      </w:r>
      <w:r>
        <w:rPr>
          <w:rFonts w:ascii="宋体" w:hAnsi="宋体" w:eastAsia="宋体"/>
          <w:bCs/>
          <w:sz w:val="36"/>
          <w:szCs w:val="36"/>
        </w:rPr>
        <w:t>赛</w:t>
      </w:r>
      <w:r>
        <w:rPr>
          <w:rFonts w:hint="eastAsia" w:ascii="宋体" w:hAnsi="宋体" w:eastAsia="宋体"/>
          <w:bCs/>
          <w:sz w:val="36"/>
          <w:szCs w:val="36"/>
        </w:rPr>
        <w:t>（</w:t>
      </w:r>
      <w:r>
        <w:rPr>
          <w:rFonts w:hint="eastAsia" w:ascii="宋体" w:hAnsi="宋体" w:cs="方正小标宋简体"/>
          <w:color w:val="auto"/>
          <w:sz w:val="36"/>
          <w:szCs w:val="36"/>
          <w:highlight w:val="none"/>
          <w:lang w:val="en-US" w:eastAsia="zh-CN"/>
        </w:rPr>
        <w:t>常州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6"/>
          <w:szCs w:val="36"/>
          <w:shd w:val="clear" w:fill="FFFFFF"/>
        </w:rPr>
        <w:t>站</w:t>
      </w:r>
      <w:r>
        <w:rPr>
          <w:rFonts w:hint="eastAsia" w:ascii="宋体" w:hAnsi="宋体" w:eastAsia="宋体"/>
          <w:bCs/>
          <w:sz w:val="36"/>
          <w:szCs w:val="36"/>
        </w:rPr>
        <w:t>）竞赛规程</w:t>
      </w:r>
    </w:p>
    <w:p>
      <w:pPr>
        <w:pStyle w:val="13"/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主办单位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中国马术协会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二、竞赛日期和地点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常州骐骥国际马术运动中心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竞赛项目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青年组个人赛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采用F级积分标准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（二）少年组</w:t>
      </w:r>
      <w:r>
        <w:rPr>
          <w:rFonts w:ascii="仿宋" w:hAnsi="仿宋" w:eastAsia="仿宋"/>
          <w:sz w:val="32"/>
          <w:szCs w:val="32"/>
        </w:rPr>
        <w:t>个人赛</w:t>
      </w:r>
      <w:r>
        <w:rPr>
          <w:rFonts w:hint="eastAsia" w:ascii="仿宋" w:hAnsi="仿宋" w:eastAsia="仿宋"/>
          <w:sz w:val="32"/>
          <w:szCs w:val="32"/>
        </w:rPr>
        <w:t>，采用G级积分标准；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（三）配对赛，采用H级积分标准。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四、参赛资格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（一）参赛单位及运动员须完成</w:t>
      </w:r>
      <w:r>
        <w:rPr>
          <w:rFonts w:ascii="仿宋" w:hAnsi="仿宋" w:eastAsia="仿宋"/>
          <w:sz w:val="32"/>
          <w:szCs w:val="32"/>
        </w:rPr>
        <w:t>2025年度中国马术协会注册手续。参赛运动员须符合马术项目骑手分级管理实施细则的参赛级别规定。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bookmarkStart w:id="0" w:name="_Hlk190264761"/>
      <w:r>
        <w:rPr>
          <w:rFonts w:hint="eastAsia" w:ascii="仿宋" w:hAnsi="仿宋" w:eastAsia="仿宋"/>
          <w:sz w:val="32"/>
          <w:szCs w:val="32"/>
        </w:rPr>
        <w:t>每个组别一名骑手最多骑乘两</w:t>
      </w:r>
      <w:r>
        <w:rPr>
          <w:rFonts w:ascii="仿宋" w:hAnsi="仿宋" w:eastAsia="仿宋"/>
          <w:sz w:val="32"/>
          <w:szCs w:val="32"/>
        </w:rPr>
        <w:t>匹马参赛，参赛</w:t>
      </w:r>
      <w:r>
        <w:rPr>
          <w:rFonts w:hint="eastAsia" w:ascii="仿宋" w:hAnsi="仿宋" w:eastAsia="仿宋"/>
          <w:sz w:val="32"/>
          <w:szCs w:val="32"/>
        </w:rPr>
        <w:t>马匹</w:t>
      </w:r>
      <w:r>
        <w:rPr>
          <w:rFonts w:ascii="仿宋" w:hAnsi="仿宋" w:eastAsia="仿宋"/>
          <w:sz w:val="32"/>
          <w:szCs w:val="32"/>
        </w:rPr>
        <w:t>限报一个组别，</w:t>
      </w:r>
      <w:r>
        <w:rPr>
          <w:rFonts w:hint="eastAsia" w:ascii="仿宋" w:hAnsi="仿宋" w:eastAsia="仿宋"/>
          <w:sz w:val="32"/>
          <w:szCs w:val="32"/>
        </w:rPr>
        <w:t>且</w:t>
      </w:r>
      <w:bookmarkStart w:id="1" w:name="_Hlk190264850"/>
      <w:r>
        <w:rPr>
          <w:rFonts w:hint="eastAsia" w:ascii="仿宋" w:hAnsi="仿宋" w:eastAsia="仿宋"/>
          <w:sz w:val="32"/>
          <w:szCs w:val="32"/>
        </w:rPr>
        <w:t>只允许由同一名骑手骑乘参赛</w:t>
      </w:r>
      <w:bookmarkEnd w:id="1"/>
      <w:r>
        <w:rPr>
          <w:rFonts w:ascii="仿宋" w:hAnsi="仿宋" w:eastAsia="仿宋"/>
          <w:sz w:val="32"/>
          <w:szCs w:val="32"/>
        </w:rPr>
        <w:t>；</w:t>
      </w:r>
      <w:bookmarkEnd w:id="0"/>
      <w:r>
        <w:rPr>
          <w:rFonts w:hint="eastAsia" w:ascii="仿宋" w:hAnsi="仿宋" w:eastAsia="仿宋"/>
          <w:sz w:val="32"/>
          <w:szCs w:val="32"/>
        </w:rPr>
        <w:t>随队人员可报领队一</w:t>
      </w:r>
      <w:r>
        <w:rPr>
          <w:rFonts w:ascii="仿宋" w:hAnsi="仿宋" w:eastAsia="仿宋"/>
          <w:sz w:val="32"/>
          <w:szCs w:val="32"/>
        </w:rPr>
        <w:t>人、兽医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人，钉蹄员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</w:rPr>
        <w:t>每个组别限</w:t>
      </w:r>
      <w:r>
        <w:rPr>
          <w:rFonts w:ascii="仿宋" w:hAnsi="仿宋" w:eastAsia="仿宋"/>
          <w:sz w:val="32"/>
          <w:szCs w:val="32"/>
        </w:rPr>
        <w:t>报教练员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人、工作人员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人。马主人数不超过参赛马匹数</w:t>
      </w:r>
      <w:r>
        <w:rPr>
          <w:rFonts w:hint="eastAsia" w:ascii="仿宋" w:hAnsi="仿宋" w:eastAsia="仿宋"/>
          <w:sz w:val="32"/>
          <w:szCs w:val="32"/>
        </w:rPr>
        <w:t>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（三）参赛运动员不分性别同场竞技，须在中国马术协会完成</w:t>
      </w:r>
      <w:r>
        <w:rPr>
          <w:rFonts w:ascii="仿宋" w:hAnsi="仿宋" w:eastAsia="仿宋"/>
          <w:sz w:val="32"/>
          <w:szCs w:val="32"/>
        </w:rPr>
        <w:t>2025年度注册手续。青年组</w:t>
      </w:r>
      <w:r>
        <w:rPr>
          <w:rFonts w:hint="eastAsia" w:ascii="仿宋" w:hAnsi="仿宋" w:eastAsia="仿宋"/>
          <w:sz w:val="32"/>
          <w:szCs w:val="32"/>
        </w:rPr>
        <w:t>科目参赛</w:t>
      </w:r>
      <w:r>
        <w:rPr>
          <w:rFonts w:ascii="仿宋" w:hAnsi="仿宋" w:eastAsia="仿宋"/>
          <w:sz w:val="32"/>
          <w:szCs w:val="32"/>
        </w:rPr>
        <w:t>运动员年龄为</w:t>
      </w:r>
      <w:bookmarkStart w:id="2" w:name="_Hlk190264928"/>
      <w:r>
        <w:rPr>
          <w:rFonts w:ascii="仿宋" w:hAnsi="仿宋" w:eastAsia="仿宋"/>
          <w:sz w:val="32"/>
          <w:szCs w:val="32"/>
        </w:rPr>
        <w:t>14-21岁（2004年至2011年出生）</w:t>
      </w:r>
      <w:bookmarkEnd w:id="2"/>
      <w:r>
        <w:rPr>
          <w:rFonts w:ascii="仿宋" w:hAnsi="仿宋" w:eastAsia="仿宋"/>
          <w:sz w:val="32"/>
          <w:szCs w:val="32"/>
        </w:rPr>
        <w:t>，少年组</w:t>
      </w:r>
      <w:bookmarkStart w:id="3" w:name="_Hlk162962088"/>
      <w:r>
        <w:rPr>
          <w:rFonts w:hint="eastAsia" w:ascii="仿宋" w:hAnsi="仿宋" w:eastAsia="仿宋"/>
          <w:sz w:val="32"/>
          <w:szCs w:val="32"/>
        </w:rPr>
        <w:t>科目参赛</w:t>
      </w:r>
      <w:r>
        <w:rPr>
          <w:rFonts w:ascii="仿宋" w:hAnsi="仿宋" w:eastAsia="仿宋"/>
          <w:sz w:val="32"/>
          <w:szCs w:val="32"/>
        </w:rPr>
        <w:t>运动员年龄为</w:t>
      </w:r>
      <w:bookmarkStart w:id="4" w:name="_Hlk190264947"/>
      <w:r>
        <w:rPr>
          <w:rFonts w:ascii="仿宋" w:hAnsi="仿宋" w:eastAsia="仿宋"/>
          <w:sz w:val="32"/>
          <w:szCs w:val="32"/>
        </w:rPr>
        <w:t>10-16岁</w:t>
      </w:r>
      <w:bookmarkEnd w:id="3"/>
      <w:r>
        <w:rPr>
          <w:rFonts w:ascii="仿宋" w:hAnsi="仿宋" w:eastAsia="仿宋"/>
          <w:sz w:val="32"/>
          <w:szCs w:val="32"/>
        </w:rPr>
        <w:t>（</w:t>
      </w:r>
      <w:bookmarkStart w:id="5" w:name="_Hlk162962111"/>
      <w:r>
        <w:rPr>
          <w:rFonts w:ascii="仿宋" w:hAnsi="仿宋" w:eastAsia="仿宋"/>
          <w:sz w:val="32"/>
          <w:szCs w:val="32"/>
        </w:rPr>
        <w:t>2009年至2015年出生</w:t>
      </w:r>
      <w:bookmarkEnd w:id="5"/>
      <w:r>
        <w:rPr>
          <w:rFonts w:ascii="仿宋" w:hAnsi="仿宋" w:eastAsia="仿宋"/>
          <w:sz w:val="32"/>
          <w:szCs w:val="32"/>
        </w:rPr>
        <w:t>）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6" w:name="_Hlk190264961"/>
      <w:r>
        <w:rPr>
          <w:rFonts w:hint="eastAsia" w:ascii="仿宋" w:hAnsi="仿宋" w:eastAsia="仿宋"/>
          <w:sz w:val="32"/>
          <w:szCs w:val="32"/>
        </w:rPr>
        <w:t>配对赛运动员年龄为</w:t>
      </w:r>
      <w:r>
        <w:rPr>
          <w:rFonts w:ascii="仿宋" w:hAnsi="仿宋" w:eastAsia="仿宋"/>
          <w:sz w:val="32"/>
          <w:szCs w:val="32"/>
        </w:rPr>
        <w:t>7-25岁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2000年至2018年出生</w:t>
      </w:r>
      <w:r>
        <w:rPr>
          <w:rFonts w:hint="eastAsia" w:ascii="仿宋" w:hAnsi="仿宋" w:eastAsia="仿宋"/>
          <w:sz w:val="32"/>
          <w:szCs w:val="32"/>
        </w:rPr>
        <w:t>）</w:t>
      </w:r>
      <w:bookmarkEnd w:id="6"/>
      <w:r>
        <w:rPr>
          <w:rFonts w:ascii="仿宋" w:hAnsi="仿宋" w:eastAsia="仿宋"/>
          <w:sz w:val="32"/>
          <w:szCs w:val="32"/>
        </w:rPr>
        <w:t>。</w:t>
      </w:r>
      <w:bookmarkStart w:id="7" w:name="_Hlk190264787"/>
      <w:bookmarkStart w:id="8" w:name="OLE_LINK1"/>
      <w:r>
        <w:rPr>
          <w:rFonts w:hint="eastAsia" w:ascii="仿宋" w:hAnsi="仿宋" w:eastAsia="仿宋"/>
          <w:sz w:val="32"/>
          <w:szCs w:val="32"/>
        </w:rPr>
        <w:t>如年龄符合科目参赛要求，运动员可参加多个组别，</w:t>
      </w:r>
      <w:r>
        <w:rPr>
          <w:rFonts w:hint="eastAsia" w:ascii="仿宋" w:hAnsi="仿宋" w:eastAsia="仿宋"/>
          <w:b/>
          <w:bCs/>
          <w:sz w:val="32"/>
          <w:szCs w:val="32"/>
        </w:rPr>
        <w:t>但马匹不可兼项</w:t>
      </w:r>
      <w:bookmarkEnd w:id="7"/>
      <w:bookmarkEnd w:id="8"/>
      <w:bookmarkStart w:id="9" w:name="_Hlk190264805"/>
      <w:r>
        <w:rPr>
          <w:rFonts w:hint="eastAsia" w:ascii="仿宋" w:hAnsi="仿宋" w:eastAsia="仿宋"/>
          <w:sz w:val="32"/>
          <w:szCs w:val="32"/>
        </w:rPr>
        <w:t>（配对赛除外）。</w:t>
      </w:r>
    </w:p>
    <w:bookmarkEnd w:id="9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（四）各单位自带马匹参赛，马匹须完成中国马术协会</w:t>
      </w:r>
      <w:r>
        <w:rPr>
          <w:rFonts w:ascii="仿宋" w:hAnsi="仿宋" w:eastAsia="仿宋"/>
          <w:sz w:val="32"/>
          <w:szCs w:val="32"/>
        </w:rPr>
        <w:t>2025年度马匹登记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马龄须达到</w:t>
      </w:r>
      <w:r>
        <w:rPr>
          <w:rFonts w:ascii="仿宋" w:hAnsi="仿宋" w:eastAsia="仿宋"/>
          <w:sz w:val="32"/>
          <w:szCs w:val="32"/>
        </w:rPr>
        <w:t>6岁（2019年及以前出生）</w:t>
      </w:r>
      <w:r>
        <w:rPr>
          <w:rFonts w:hint="eastAsia" w:ascii="仿宋" w:hAnsi="仿宋" w:eastAsia="仿宋"/>
          <w:sz w:val="32"/>
          <w:szCs w:val="32"/>
        </w:rPr>
        <w:t>。参赛马匹须具有中国马术协会颁发的马匹护照，并在到达赛区后及时向赛会兽医提交。参赛马匹在赛前按规则要求进行验马，未参加验马的马匹不得参加比</w:t>
      </w:r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）参赛马匹赴赛区前须办理相关检疫手续，并由所在地、县级兽医站出具检疫合格证明，随马匹抵达赛区时递交承办单位。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五、竞赛办法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（一）比赛采用国际马联</w:t>
      </w:r>
      <w:r>
        <w:rPr>
          <w:rFonts w:ascii="仿宋" w:hAnsi="仿宋" w:eastAsia="仿宋"/>
          <w:sz w:val="32"/>
          <w:szCs w:val="32"/>
        </w:rPr>
        <w:t xml:space="preserve">2025年1月1日更新颁布的第26版盛装舞步竞赛规则。特殊修订条款的执行，以中国马术协会下发通知及技术会公布为准。 </w:t>
      </w:r>
    </w:p>
    <w:p>
      <w:pPr>
        <w:ind w:firstLine="5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（二）青年组比赛包含两场比赛。两场比赛单独记取成绩并分别颁发奖项。所有参加第一场比赛的运动员均可参加第二场比赛，两场比赛均完赛方可以第二场比赛的成绩获得积分。</w:t>
      </w:r>
    </w:p>
    <w:p>
      <w:pPr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第一场比赛采用国际马联J14-18预赛科目，按赛前抽签决定出场顺序。第二场比赛采用国际马联J14-18团体赛科目，第二场比赛按第一场比赛成绩倒序，五人一组抽签决定出场顺序。</w:t>
      </w:r>
    </w:p>
    <w:p>
      <w:pPr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比赛的名次排列以百分比得分最高的运动员获胜；如得分相同，以中位裁判得分高者，名次列前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（三）少年组比赛包含两场比赛。两场比赛单独记取成绩并分别颁发奖项。所有参加第一场比赛的骑手均可参加第二场比赛，两场比赛均完赛方可以第二场的成绩获得积分。</w:t>
      </w:r>
    </w:p>
    <w:p>
      <w:pPr>
        <w:ind w:firstLine="8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第一场比赛采用国际马联 Ch12-14预赛A科目，按赛前抽签决定出场顺序。第二场比赛采用国际马联Ch12-14团体赛科目，按第一场比赛成绩倒序，五人一组抽签决定出场顺序。</w:t>
      </w:r>
    </w:p>
    <w:p>
      <w:pPr>
        <w:ind w:firstLine="8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比赛名次以百分比得分最高的运动员获胜。如得分相同，以技术分得分高者名次列前；如仍相同则以骑乘品质评分中总体印象得分高者名次列前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28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（四）配对赛为混合年龄组比赛，允许跨组别配对参加比赛。比赛为一轮赛。出场顺序按赛前抽签决定。参赛运动员选择采用中国马术协会配对赛科目A、B、C、D中任意两个科目进行配对。</w:t>
      </w:r>
    </w:p>
    <w:p>
      <w:pPr>
        <w:ind w:firstLine="85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配对赛名次排列以百分比得分高者名次列前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如有并列，以艺术得分高者名次列前。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六、裁判员和仲裁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（一）裁判员名单另行通知，人选由中国马术协会指定，不足部分由承办单位选派。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（二）在本赛事活动中发生的纠纷，可以依法向中国体育仲裁委员会申请仲裁。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七、录取名次和奖励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（一）除配对赛外，实际参赛数量不足六对人马组合</w:t>
      </w:r>
      <w:r>
        <w:rPr>
          <w:rFonts w:ascii="仿宋" w:hAnsi="仿宋" w:eastAsia="仿宋"/>
          <w:sz w:val="32"/>
          <w:szCs w:val="32"/>
        </w:rPr>
        <w:t>，取消该</w:t>
      </w:r>
      <w:r>
        <w:rPr>
          <w:rFonts w:hint="eastAsia" w:ascii="仿宋" w:hAnsi="仿宋" w:eastAsia="仿宋"/>
          <w:sz w:val="32"/>
          <w:szCs w:val="32"/>
        </w:rPr>
        <w:t>组别；实际参赛数量不足九对人马组合</w:t>
      </w:r>
      <w:r>
        <w:rPr>
          <w:rFonts w:ascii="仿宋" w:hAnsi="仿宋" w:eastAsia="仿宋"/>
          <w:sz w:val="32"/>
          <w:szCs w:val="32"/>
        </w:rPr>
        <w:t>，按参赛的人马组合数减一录取</w:t>
      </w:r>
      <w:r>
        <w:rPr>
          <w:rFonts w:hint="eastAsia" w:ascii="仿宋" w:hAnsi="仿宋" w:eastAsia="仿宋"/>
          <w:sz w:val="32"/>
          <w:szCs w:val="32"/>
        </w:rPr>
        <w:t>；参赛数量达到九对人马组合</w:t>
      </w:r>
      <w:r>
        <w:rPr>
          <w:rFonts w:ascii="仿宋" w:hAnsi="仿宋" w:eastAsia="仿宋"/>
          <w:sz w:val="32"/>
          <w:szCs w:val="32"/>
        </w:rPr>
        <w:t>及以上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录取前</w:t>
      </w:r>
      <w:r>
        <w:rPr>
          <w:rFonts w:hint="eastAsia" w:ascii="仿宋" w:hAnsi="仿宋" w:eastAsia="仿宋"/>
          <w:sz w:val="32"/>
          <w:szCs w:val="32"/>
        </w:rPr>
        <w:t>八</w:t>
      </w:r>
      <w:r>
        <w:rPr>
          <w:rFonts w:ascii="仿宋" w:hAnsi="仿宋" w:eastAsia="仿宋"/>
          <w:sz w:val="32"/>
          <w:szCs w:val="32"/>
        </w:rPr>
        <w:t>名。前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名颁发奖牌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证书</w:t>
      </w:r>
      <w:r>
        <w:rPr>
          <w:rFonts w:hint="eastAsia" w:ascii="仿宋" w:hAnsi="仿宋" w:eastAsia="仿宋"/>
          <w:sz w:val="32"/>
          <w:szCs w:val="32"/>
        </w:rPr>
        <w:t>、马花，</w:t>
      </w:r>
      <w:r>
        <w:rPr>
          <w:rFonts w:ascii="仿宋" w:hAnsi="仿宋" w:eastAsia="仿宋"/>
          <w:sz w:val="32"/>
          <w:szCs w:val="32"/>
        </w:rPr>
        <w:t>其他名次颁发证书。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（二）比赛设“最佳马主奖”，青年组冠军马匹的马主为最佳马主，颁发奖杯一座。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八、报名和报到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（一）各参赛单位、运动员及马匹未完成中国马术协会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年度注册手续不能进行报名，报名截止日期</w:t>
      </w:r>
      <w:r>
        <w:rPr>
          <w:rFonts w:hint="eastAsia" w:ascii="仿宋" w:hAnsi="仿宋" w:eastAsia="仿宋"/>
          <w:sz w:val="32"/>
          <w:szCs w:val="32"/>
        </w:rPr>
        <w:t>以赛事通知为准</w:t>
      </w:r>
      <w:r>
        <w:rPr>
          <w:rFonts w:ascii="仿宋" w:hAnsi="仿宋" w:eastAsia="仿宋"/>
          <w:sz w:val="32"/>
          <w:szCs w:val="32"/>
        </w:rPr>
        <w:t>。逾期报名，按不参加论。</w:t>
      </w:r>
      <w:r>
        <w:rPr>
          <w:rFonts w:hint="eastAsia" w:ascii="仿宋" w:hAnsi="仿宋" w:eastAsia="仿宋"/>
          <w:sz w:val="32"/>
          <w:szCs w:val="32"/>
        </w:rPr>
        <w:t>到达比赛场地后，非骑手本人不得上马训练。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（二）参赛队和大会指定裁判员于赛前两</w:t>
      </w:r>
      <w:r>
        <w:rPr>
          <w:rFonts w:ascii="仿宋" w:hAnsi="仿宋" w:eastAsia="仿宋"/>
          <w:sz w:val="32"/>
          <w:szCs w:val="32"/>
        </w:rPr>
        <w:t xml:space="preserve">天到赛区报到。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九、器材和经费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（一）各参赛代表队一切费用自理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十、其他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（一）兴奋剂检查和处罚按照国家体育总局有关规定执行。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（二）参赛马匹须按规定注射马流感疫苗。未注射马流感疫苗的马匹将不得参赛。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（三）未尽事宜</w:t>
      </w:r>
      <w:r>
        <w:rPr>
          <w:rFonts w:ascii="仿宋" w:hAnsi="仿宋" w:eastAsia="仿宋"/>
          <w:sz w:val="32"/>
          <w:szCs w:val="32"/>
        </w:rPr>
        <w:t xml:space="preserve">,另行通知。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798"/>
    <w:multiLevelType w:val="multilevel"/>
    <w:tmpl w:val="6BEB57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4"/>
    <w:rsid w:val="00012B5C"/>
    <w:rsid w:val="00086152"/>
    <w:rsid w:val="000D5F81"/>
    <w:rsid w:val="000D6EF6"/>
    <w:rsid w:val="00127AD4"/>
    <w:rsid w:val="00170AAE"/>
    <w:rsid w:val="00186E13"/>
    <w:rsid w:val="00190ECE"/>
    <w:rsid w:val="0019565E"/>
    <w:rsid w:val="001A2AD9"/>
    <w:rsid w:val="001B1CD5"/>
    <w:rsid w:val="001D0B8B"/>
    <w:rsid w:val="001D3BBF"/>
    <w:rsid w:val="001E2258"/>
    <w:rsid w:val="001F2B4F"/>
    <w:rsid w:val="001F4D77"/>
    <w:rsid w:val="0020341A"/>
    <w:rsid w:val="00221921"/>
    <w:rsid w:val="002414DC"/>
    <w:rsid w:val="00253459"/>
    <w:rsid w:val="002643F6"/>
    <w:rsid w:val="00286BEC"/>
    <w:rsid w:val="002A2AE1"/>
    <w:rsid w:val="002A6C4A"/>
    <w:rsid w:val="002B5513"/>
    <w:rsid w:val="002D24BE"/>
    <w:rsid w:val="002D59BE"/>
    <w:rsid w:val="002F5451"/>
    <w:rsid w:val="00303E9D"/>
    <w:rsid w:val="00311A22"/>
    <w:rsid w:val="00323851"/>
    <w:rsid w:val="00353709"/>
    <w:rsid w:val="00373339"/>
    <w:rsid w:val="003877B0"/>
    <w:rsid w:val="00392E05"/>
    <w:rsid w:val="003B3ED4"/>
    <w:rsid w:val="003C489A"/>
    <w:rsid w:val="003F2982"/>
    <w:rsid w:val="003F4301"/>
    <w:rsid w:val="004030F6"/>
    <w:rsid w:val="00403150"/>
    <w:rsid w:val="00405127"/>
    <w:rsid w:val="0042132C"/>
    <w:rsid w:val="004550BA"/>
    <w:rsid w:val="004779DF"/>
    <w:rsid w:val="00490DEF"/>
    <w:rsid w:val="004B5737"/>
    <w:rsid w:val="004E45F4"/>
    <w:rsid w:val="004F68C9"/>
    <w:rsid w:val="00510168"/>
    <w:rsid w:val="00514074"/>
    <w:rsid w:val="005215BC"/>
    <w:rsid w:val="00523DE7"/>
    <w:rsid w:val="00567601"/>
    <w:rsid w:val="0057253C"/>
    <w:rsid w:val="00580550"/>
    <w:rsid w:val="0058774B"/>
    <w:rsid w:val="005B3783"/>
    <w:rsid w:val="005B4421"/>
    <w:rsid w:val="00600A08"/>
    <w:rsid w:val="00614CC1"/>
    <w:rsid w:val="006402F9"/>
    <w:rsid w:val="00674BD3"/>
    <w:rsid w:val="006807E0"/>
    <w:rsid w:val="006A5FE0"/>
    <w:rsid w:val="006A6C6D"/>
    <w:rsid w:val="006D1751"/>
    <w:rsid w:val="006E0FE4"/>
    <w:rsid w:val="006F5447"/>
    <w:rsid w:val="006F6356"/>
    <w:rsid w:val="00762A15"/>
    <w:rsid w:val="007732CF"/>
    <w:rsid w:val="00775DEF"/>
    <w:rsid w:val="00783FE3"/>
    <w:rsid w:val="0078752D"/>
    <w:rsid w:val="007A0FD2"/>
    <w:rsid w:val="007A5EE1"/>
    <w:rsid w:val="007D7A36"/>
    <w:rsid w:val="0081511D"/>
    <w:rsid w:val="008205B5"/>
    <w:rsid w:val="008270A4"/>
    <w:rsid w:val="00835F26"/>
    <w:rsid w:val="0086256E"/>
    <w:rsid w:val="00862858"/>
    <w:rsid w:val="00891549"/>
    <w:rsid w:val="008C184C"/>
    <w:rsid w:val="008F2017"/>
    <w:rsid w:val="008F77FC"/>
    <w:rsid w:val="00900960"/>
    <w:rsid w:val="00992C14"/>
    <w:rsid w:val="00A02B8D"/>
    <w:rsid w:val="00A0348C"/>
    <w:rsid w:val="00A31934"/>
    <w:rsid w:val="00A52541"/>
    <w:rsid w:val="00A64843"/>
    <w:rsid w:val="00A64C5C"/>
    <w:rsid w:val="00A76689"/>
    <w:rsid w:val="00AB14E0"/>
    <w:rsid w:val="00AC389F"/>
    <w:rsid w:val="00AE360F"/>
    <w:rsid w:val="00AE65FD"/>
    <w:rsid w:val="00B013F4"/>
    <w:rsid w:val="00B065F9"/>
    <w:rsid w:val="00B20EEC"/>
    <w:rsid w:val="00B27E51"/>
    <w:rsid w:val="00B3624A"/>
    <w:rsid w:val="00B374A0"/>
    <w:rsid w:val="00B56E83"/>
    <w:rsid w:val="00BB0385"/>
    <w:rsid w:val="00BB7F7A"/>
    <w:rsid w:val="00BE6EDF"/>
    <w:rsid w:val="00C215D7"/>
    <w:rsid w:val="00C24F59"/>
    <w:rsid w:val="00C65DDF"/>
    <w:rsid w:val="00CA2E8D"/>
    <w:rsid w:val="00CB044C"/>
    <w:rsid w:val="00CF2AA5"/>
    <w:rsid w:val="00D0508E"/>
    <w:rsid w:val="00D44B9B"/>
    <w:rsid w:val="00D73DFA"/>
    <w:rsid w:val="00D920D9"/>
    <w:rsid w:val="00DB33A3"/>
    <w:rsid w:val="00DB7249"/>
    <w:rsid w:val="00DE2279"/>
    <w:rsid w:val="00DE66B2"/>
    <w:rsid w:val="00DE7688"/>
    <w:rsid w:val="00DF1622"/>
    <w:rsid w:val="00E002AC"/>
    <w:rsid w:val="00E23CE6"/>
    <w:rsid w:val="00E27D6E"/>
    <w:rsid w:val="00E35A63"/>
    <w:rsid w:val="00E779B1"/>
    <w:rsid w:val="00F1670C"/>
    <w:rsid w:val="00F47657"/>
    <w:rsid w:val="00F52B4D"/>
    <w:rsid w:val="00F77719"/>
    <w:rsid w:val="00FA16C5"/>
    <w:rsid w:val="00FA24CF"/>
    <w:rsid w:val="00FA6AEB"/>
    <w:rsid w:val="00FD4B8A"/>
    <w:rsid w:val="00FE042E"/>
    <w:rsid w:val="0B494AEF"/>
    <w:rsid w:val="43DA7F60"/>
    <w:rsid w:val="4A0468BC"/>
    <w:rsid w:val="7AF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qFormat/>
    <w:uiPriority w:val="99"/>
    <w:rPr>
      <w:sz w:val="20"/>
      <w:szCs w:val="20"/>
    </w:rPr>
  </w:style>
  <w:style w:type="character" w:customStyle="1" w:styleId="16">
    <w:name w:val="批注主题 字符"/>
    <w:basedOn w:val="15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</Words>
  <Characters>1636</Characters>
  <Lines>13</Lines>
  <Paragraphs>3</Paragraphs>
  <TotalTime>13</TotalTime>
  <ScaleCrop>false</ScaleCrop>
  <LinksUpToDate>false</LinksUpToDate>
  <CharactersWithSpaces>1919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2025-02-12T06:42:00Z</dcterms:created>
  <dc:creator>Lenovo</dc:creator>
  <cp:lastModifiedBy>CEA-MENG</cp:lastModifiedBy>
  <cp:lastPrinted>2025-09-02T09:21:01Z</cp:lastPrinted>
  <dcterms:modified xsi:type="dcterms:W3CDTF">2025-09-02T09:23:24Z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