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06B46">
      <w:pPr>
        <w:pStyle w:val="18"/>
        <w:overflowPunct w:val="0"/>
        <w:topLinePunct/>
        <w:autoSpaceDE/>
        <w:autoSpaceDN/>
        <w:snapToGrid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mc:AlternateContent>
        <mc:Choice Requires="wpsCustomData">
          <wpsCustomData:docfieldStart id="0" docfieldname="标题" hidden="0" print="1" readonly="0" index="1"/>
        </mc:Choice>
      </mc:AlternateContent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附件</w:t>
      </w:r>
    </w:p>
    <w:p w14:paraId="3FD97EBA">
      <w:pPr>
        <w:pStyle w:val="18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 w14:paraId="56A5C1D1">
      <w:pPr>
        <w:pStyle w:val="18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第20届爱知·名古屋亚运会马术项目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</w:rPr>
        <w:t>参赛运动员和马匹选拔办法</w:t>
      </w:r>
      <mc:AlternateContent>
        <mc:Choice Requires="wpsCustomData">
          <wpsCustomData:docfieldEnd id="0"/>
        </mc:Choice>
      </mc:AlternateContent>
    </w:p>
    <w:p w14:paraId="51C23BFF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6"/>
          <w:szCs w:val="36"/>
        </w:rPr>
      </w:pPr>
    </w:p>
    <w:p w14:paraId="6C7CFA63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mc:AlternateContent>
        <mc:Choice Requires="wpsCustomData">
          <wpsCustomData:docfieldStart id="1" docfieldname="正文" hidden="0" print="1" readonly="0" index="54"/>
        </mc:Choice>
      </mc:AlternateContent>
      <w:bookmarkStart w:id="0" w:name="_Hlk94345683"/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统筹做好第20届爱知·名古屋亚运会参赛人马选拔，更好地促进洛杉矶奥运会备战工作，根据中国马术协会奥运战略和亚运会参赛整体部署，派出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最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优人马组合参加2026年爱知·名古屋亚运会马术比赛，力争在亚运会上取得优异成绩。现制定《马术项目第20届爱知·名古屋亚运会参赛运动员和马匹选拔办法》，并予以发布实施。</w:t>
      </w:r>
    </w:p>
    <w:bookmarkEnd w:id="0"/>
    <w:p w14:paraId="6EF0ACFB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选拔原则</w:t>
      </w:r>
    </w:p>
    <w:p w14:paraId="71DF3FC5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拥护中国共产党的领导，遵纪守法，坚持祖国利益至上。选拔训练态度端正、思想作风过硬、体能基础良好、技战术水平优秀的运动员。</w:t>
      </w:r>
    </w:p>
    <w:p w14:paraId="2453D08E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严格遵守国家体育总局和中国马术协会相关管理规定。</w:t>
      </w:r>
    </w:p>
    <w:p w14:paraId="21DA188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严格遵守国家及国际组织有关赛风赛纪和反兴奋剂的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规定。因兴奋剂违规而处于禁赛期的运动员、辅助人员和马匹，不得参加选拔。禁赛期满但禁赛超过1年的（不含1年），不得参加选拔。如选拔产生的运动员和马匹出现违反《反兴奋剂规则》《反兴奋剂管理办法》或《运动马匹反兴奋剂规则(暂行)》等行为及成绩造假等违规情况的，取消该运动员和马匹的参赛资格，并按照总局及中马协相关规定进行处罚。</w:t>
      </w:r>
    </w:p>
    <w:p w14:paraId="2D376F04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坚持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“公平、公正、公开”的原则，以备战奥运任务为主导，对标洛杉矶奥运会任务目标。以国家体育总局和协会备战洛杉矶奥运会的实际需要为根本遵循,选派备战最优人马组合代表中国参加2026年爱知·名古屋亚运会马术比赛。</w:t>
      </w:r>
    </w:p>
    <w:p w14:paraId="26B98B31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五）参赛马匹全部由亚奥理事会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亚组委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认可地区运输至日本参赛。</w:t>
      </w:r>
    </w:p>
    <w:p w14:paraId="18A98806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根据项目特点，制定体能测试方案。体能测试不合格者不得参加选拔。</w:t>
      </w:r>
    </w:p>
    <w:p w14:paraId="1F351F6B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本选拔办法如与国家体育总局及亚组委公布的相关规定冲突，将以国家体育总局及亚组委相关规定为准，冲突部分按程序修改、征求意见、公示和公布。</w:t>
      </w:r>
    </w:p>
    <w:p w14:paraId="60BCFC7A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二、适用范围</w:t>
      </w:r>
    </w:p>
    <w:p w14:paraId="6E7A4AA5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本办法适用于中国马术队参加2026年名古屋亚运会盛装舞步、三项赛和场地障碍三个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的人马组合选拔工作。</w:t>
      </w:r>
    </w:p>
    <w:p w14:paraId="506FE61E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三、选拔程序</w:t>
      </w:r>
    </w:p>
    <w:p w14:paraId="68F184FB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选拔过程中将组建备战领导小组，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按本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办法完成选拔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后，备战复合团队将入选名单提交备战领导小组进行研究。备战领导小组将综合考量人马比赛成绩、竞技状态、训练表现、反兴奋剂工作落实、临时政策调整等，确定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人马组合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名单。同时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报送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中马协和国家体育总局自行车击剑运动管理中心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会审议。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审议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通过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并公示无异议后，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公布最</w:t>
      </w:r>
      <w:bookmarkStart w:id="2" w:name="_GoBack"/>
      <w:bookmarkEnd w:id="2"/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终参赛名单。</w:t>
      </w:r>
    </w:p>
    <w:p w14:paraId="31016B27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选拔期限</w:t>
      </w:r>
    </w:p>
    <w:p w14:paraId="7C390EC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自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办法公布之日起至亚运会公布的报名截止日止。</w:t>
      </w:r>
    </w:p>
    <w:p w14:paraId="5FF1E313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各项目选拔实施细则</w:t>
      </w:r>
    </w:p>
    <w:p w14:paraId="0297A18D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盛装舞步</w:t>
      </w:r>
    </w:p>
    <w:p w14:paraId="715D66A6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参选资格：</w:t>
      </w:r>
    </w:p>
    <w:p w14:paraId="38A4E405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根据亚奥理事会关于亚运会参赛最低资格标准（Minimum Eligibility Requirements，以下简称MER）要求，人马组合需在2025年1月1日至2026年亚运会报名截止日期间，满足以下任一条件：</w:t>
      </w:r>
    </w:p>
    <w:p w14:paraId="48956345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- 人马组合需完成2场CDI3*大巡回赛（Big Tour）大奖赛（Grand Prix）级别比赛，单场得分≥62%</w:t>
      </w:r>
    </w:p>
    <w:p w14:paraId="6D81336D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- 或人马组合需完成2场CDI1*及以上小巡回赛（Small Tour），圣乔治（Prix St. Georges）及中一（Intermediate 1）级别，单场得分≥62%。</w:t>
      </w:r>
    </w:p>
    <w:p w14:paraId="44E89B58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参赛马匹需由协会指定兽医出具马匹检测报告且符合参赛条件。</w:t>
      </w:r>
    </w:p>
    <w:p w14:paraId="65837BCA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参加选拔的人马须满足亚运会参赛年龄要求，即2026年运动员须年满16岁（2010年及以前出生），马匹须年满7岁（2019年1月1日及以前出生）。</w:t>
      </w:r>
    </w:p>
    <w:p w14:paraId="0D70E55E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选拔数量：5组人马组合，依名次递补。</w:t>
      </w:r>
    </w:p>
    <w:p w14:paraId="447E749A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选拔方式：人马组合参赛，根据比赛成绩，将按下列顺序依次进行选拔，若第一条件选拔后名额未满，则按第二条件依次递补，直至名额满额或所有条件用尽。</w:t>
      </w:r>
    </w:p>
    <w:p w14:paraId="03BF485D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获得2026年亚琛世锦赛参赛资格的人马组合，直接获得亚运会参赛资格；</w:t>
      </w:r>
    </w:p>
    <w:p w14:paraId="1F49DB4E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2场FEI（成人赛）赛事中圣乔治和中一级科目成绩≥71%的人马组合或3场FEI（成人赛）赛事中圣乔治和中一级科目成绩≥70%的人马组合，直接获取亚运会参赛资格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总分值靠前者优先入选；</w:t>
      </w:r>
    </w:p>
    <w:p w14:paraId="2133374B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选取8场FEI成人赛事圣乔治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中一级科目最好成绩（有效成绩≥66%），计算平均分（总分/8场次），按平均值从高到低排序，总分值靠前者优先入选。</w:t>
      </w:r>
    </w:p>
    <w:p w14:paraId="5C1D267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三项赛</w:t>
      </w:r>
    </w:p>
    <w:p w14:paraId="1EB6E718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参选资格：</w:t>
      </w:r>
    </w:p>
    <w:p w14:paraId="3D9D08B5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根据亚奥理事会关于亚运会参赛最低资格标准（Minimum Eligibility Requirements，以下简称MER）要求，人马组合需在2025年1月1日至2026年亚运会初报名截止日期期间参加一场CCI2*-L及以上级别比赛并获得MER。</w:t>
      </w:r>
    </w:p>
    <w:p w14:paraId="25A3E051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bookmarkStart w:id="1" w:name="_Hlk22092944"/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参赛马匹需由协会指定兽医出具马匹检测报告且符合参赛条件。</w:t>
      </w:r>
      <w:bookmarkEnd w:id="1"/>
    </w:p>
    <w:p w14:paraId="528F24A9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参加选拔运动员须满足亚运会人马参赛年龄要求，即2026年运动员须年满18岁（2008年及以前出生），马匹须年满6岁（2020 年1月1日及以前出生）。</w:t>
      </w:r>
    </w:p>
    <w:p w14:paraId="0C9DF670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选拔数量：5组人马组合，依名次递补。</w:t>
      </w:r>
    </w:p>
    <w:p w14:paraId="5390110A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选拔方式：鉴于亚运会决赛比赛采用混合科目制，即盛装舞步、场地障碍赛为CCI3*难度,越野赛为CCI2*-L难度,结合奥运备战为主要任务的原则，按如下顺序依次进行选拔，若第一条件选拔后名额未满，则按第二条件依次递补，直至名额满额或所有条件用尽：</w:t>
      </w:r>
    </w:p>
    <w:p w14:paraId="442DB0AB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获得2026年亚琛世锦赛参赛资格的人马组合，或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达到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洛杉矶奥运会MER级别比赛（CCI4*-L或CCI5*）的人马组合，直接获得亚运会参赛资格。</w:t>
      </w:r>
    </w:p>
    <w:p w14:paraId="4CFB8968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在CCI2*-L或CCI3*-S单场比赛总罚分成绩低于27分的人马组合，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获得亚运会参赛资格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罚分低者优先，依次递补。</w:t>
      </w:r>
    </w:p>
    <w:p w14:paraId="7B52C8B3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</w:rPr>
        <w:t>3场最好成绩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，按下列系数折算后累积总罚分低的人马组合：</w:t>
      </w:r>
    </w:p>
    <w:tbl>
      <w:tblPr>
        <w:tblStyle w:val="20"/>
        <w:tblpPr w:leftFromText="180" w:rightFromText="180" w:vertAnchor="text" w:horzAnchor="page" w:tblpX="2250" w:tblpY="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60"/>
        <w:gridCol w:w="2088"/>
        <w:gridCol w:w="2074"/>
      </w:tblGrid>
      <w:tr w14:paraId="07B4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62F11DA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赛事级别</w:t>
            </w:r>
          </w:p>
        </w:tc>
        <w:tc>
          <w:tcPr>
            <w:tcW w:w="2060" w:type="dxa"/>
          </w:tcPr>
          <w:p w14:paraId="4A299A0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罚分累计比例</w:t>
            </w:r>
          </w:p>
        </w:tc>
        <w:tc>
          <w:tcPr>
            <w:tcW w:w="2088" w:type="dxa"/>
          </w:tcPr>
          <w:p w14:paraId="3BF271C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赛事级别</w:t>
            </w:r>
          </w:p>
        </w:tc>
        <w:tc>
          <w:tcPr>
            <w:tcW w:w="2074" w:type="dxa"/>
          </w:tcPr>
          <w:p w14:paraId="4D7A04C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罚分累计比例</w:t>
            </w:r>
          </w:p>
        </w:tc>
      </w:tr>
      <w:tr w14:paraId="04CE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42721AB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CCI2*-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S</w:t>
            </w:r>
          </w:p>
        </w:tc>
        <w:tc>
          <w:tcPr>
            <w:tcW w:w="2060" w:type="dxa"/>
          </w:tcPr>
          <w:p w14:paraId="0A0D1817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100%</w:t>
            </w:r>
          </w:p>
        </w:tc>
        <w:tc>
          <w:tcPr>
            <w:tcW w:w="2088" w:type="dxa"/>
          </w:tcPr>
          <w:p w14:paraId="1DE9B586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CCI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*-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L</w:t>
            </w:r>
          </w:p>
        </w:tc>
        <w:tc>
          <w:tcPr>
            <w:tcW w:w="2074" w:type="dxa"/>
          </w:tcPr>
          <w:p w14:paraId="12D86A1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0%</w:t>
            </w:r>
          </w:p>
        </w:tc>
      </w:tr>
      <w:tr w14:paraId="5A92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D03C93E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CCI3*-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S</w:t>
            </w:r>
          </w:p>
        </w:tc>
        <w:tc>
          <w:tcPr>
            <w:tcW w:w="2060" w:type="dxa"/>
          </w:tcPr>
          <w:p w14:paraId="7D09779D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0%</w:t>
            </w:r>
          </w:p>
        </w:tc>
        <w:tc>
          <w:tcPr>
            <w:tcW w:w="2088" w:type="dxa"/>
          </w:tcPr>
          <w:p w14:paraId="61830301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CCI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*-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  <w:lang w:val="en-US" w:eastAsia="zh-CN"/>
              </w:rPr>
              <w:t>L</w:t>
            </w:r>
          </w:p>
        </w:tc>
        <w:tc>
          <w:tcPr>
            <w:tcW w:w="2074" w:type="dxa"/>
          </w:tcPr>
          <w:p w14:paraId="63E1BFED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highlight w:val="none"/>
              </w:rPr>
              <w:t>50%</w:t>
            </w:r>
          </w:p>
        </w:tc>
      </w:tr>
    </w:tbl>
    <w:p w14:paraId="3376D8C3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计算示例：以单场完赛30罚分为例，CCI2*-S级别比赛罚分计做30分，CCI2*-L级别计作为30×80%=24分，CCI3*-S级别计做30×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0%=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分,CCI3*-L级别计做30×50%=15分。</w:t>
      </w:r>
    </w:p>
    <w:p w14:paraId="66F1942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场地障碍赛</w:t>
      </w:r>
    </w:p>
    <w:p w14:paraId="7ECD13B8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参选资格：</w:t>
      </w:r>
    </w:p>
    <w:p w14:paraId="7DBE3B8E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根据亚奥理事会关于亚运会参赛最低资格标准（Minimum Eligibility Requirements，以下简称MER）要求，人马组合需在2025年1月1日至2026年亚运会初报名截止日期期间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一场1.45M高度CSI2*比赛，采用表A判罚，4罚分及以下完赛，及一场1.50M高度CSI3*比赛，采用表A判罚，8罚分及以下完赛。（注：高度为1.45-1.50M的CSI1*-W比赛同样可以获取MER）。</w:t>
      </w:r>
    </w:p>
    <w:p w14:paraId="5C231D80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参选马匹需由协会指定兽医出具马匹检测报告且符合参赛条件。</w:t>
      </w:r>
    </w:p>
    <w:p w14:paraId="2E1E0951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参加选拔运动员须年满18岁，马匹须年满8岁。</w:t>
      </w:r>
    </w:p>
    <w:p w14:paraId="3F517927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选拔数量：5组人马组合，依名次递补。</w:t>
      </w:r>
    </w:p>
    <w:p w14:paraId="000F27FA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选拔方式：根据比赛成绩，按如下顺序依次进行选拔，若第一条件选拔后名额未满，则按第二条件依次递补，直至名额满额或所有条件用尽。</w:t>
      </w:r>
    </w:p>
    <w:p w14:paraId="3439D10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获得2026年亚琛世锦赛参赛资格的人马组合，直接获得亚运会参赛资格；</w:t>
      </w:r>
    </w:p>
    <w:p w14:paraId="43EBE223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1轮1.60M高度比赛≤8罚分的人马组合，获得亚运会参赛资格。五星级1.60M大奖赛优先，其他1.60M高度比赛次之。</w:t>
      </w:r>
    </w:p>
    <w:p w14:paraId="38F2F4D7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2轮1.55M高度比赛≤8罚分的人马组合，获得亚运会参赛资格。四星级1.55M大奖赛优先，五星级1.55M高度比赛次之。</w:t>
      </w:r>
    </w:p>
    <w:p w14:paraId="1E1B2214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5轮1.50M高度比赛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16罚分，获得亚运会参赛资格。</w:t>
      </w:r>
    </w:p>
    <w:p w14:paraId="3D3F2989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注：以上选拔成绩，在同等有效成绩的情况下，参加星级高的有效比赛成绩者优先；同等星级有效比赛成绩的情况下，罚分少者优先；同等星级比赛有效成绩罚分相同者，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采用第（5）条选拔办法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。</w:t>
      </w:r>
    </w:p>
    <w:p w14:paraId="28E99179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通过上述选拔办法若不足4组人马，中马协将在境外（西欧地区）于截止日前4周内举办两轮中国籍运动员队内选拔赛，两轮比赛总罚分排名靠前者优先。</w:t>
      </w:r>
    </w:p>
    <w:p w14:paraId="38C02532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运动员和马匹的替换</w:t>
      </w:r>
    </w:p>
    <w:p w14:paraId="17AE1501">
      <w:pPr>
        <w:pStyle w:val="11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如运动员或马匹在最终报名截止前出现伤病或检疫不合格等情况，经复合团队建议提报请备战领导小组同意的马匹及骑手递补。</w:t>
      </w:r>
    </w:p>
    <w:p w14:paraId="18D3249F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  <w:t>以上选拔办法的最终解释权归中国马术协会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eastAsia="zh-CN"/>
        </w:rPr>
        <w:t>。</w:t>
      </w:r>
    </w:p>
    <w:p w14:paraId="5E68B2B2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</w:rPr>
      </w:pPr>
    </w:p>
    <mc:AlternateContent>
      <mc:Choice Requires="wpsCustomData">
        <wpsCustomData:docfieldEnd id="1"/>
      </mc:Choice>
    </mc:AlternateContent>
    <w:p w14:paraId="3AB9BC13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620" w:rightChars="197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962" w:right="1474" w:bottom="1848" w:left="1587" w:header="851" w:footer="992" w:gutter="0"/>
      <w:pgNumType w:fmt="decimal" w:start="1"/>
      <w:cols w:space="425" w:num="1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89298">
    <w:pPr>
      <w:pStyle w:val="14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82784">
                          <w:pPr>
                            <w:pStyle w:val="14"/>
                            <w:wordWrap w:val="0"/>
                            <w:spacing w:line="473" w:lineRule="auto"/>
                            <w:ind w:right="308" w:rightChars="100"/>
                            <w:jc w:val="right"/>
                          </w:pPr>
                          <w:r>
                            <w:rPr>
                              <w:rStyle w:val="22"/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22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982784">
                    <w:pPr>
                      <w:pStyle w:val="14"/>
                      <w:wordWrap w:val="0"/>
                      <w:spacing w:line="473" w:lineRule="auto"/>
                      <w:ind w:right="308" w:rightChars="100"/>
                      <w:jc w:val="right"/>
                    </w:pPr>
                    <w:r>
                      <w:rPr>
                        <w:rStyle w:val="22"/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22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425D">
    <w:pPr>
      <w:pStyle w:val="14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22"/>
        <w:rFonts w:hint="eastAsia" w:ascii="宋体" w:hAnsi="宋体" w:eastAsia="宋体"/>
        <w:position w:val="-2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B236B">
                          <w:pPr>
                            <w:pStyle w:val="14"/>
                            <w:tabs>
                              <w:tab w:val="left" w:pos="2124"/>
                              <w:tab w:val="clear" w:pos="4153"/>
                            </w:tabs>
                            <w:spacing w:line="473" w:lineRule="auto"/>
                            <w:ind w:left="308" w:leftChars="100"/>
                            <w:jc w:val="left"/>
                          </w:pPr>
                          <w:r>
                            <w:rPr>
                              <w:rStyle w:val="22"/>
                              <w:rFonts w:hint="eastAsia" w:ascii="宋体" w:hAnsi="宋体" w:eastAsia="宋体"/>
                              <w:position w:val="-28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position w:val="-2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/>
                              <w:position w:val="-28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position w:val="-2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/>
                              <w:position w:val="-28"/>
                              <w:sz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/>
                              <w:position w:val="-28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position w:val="-2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22"/>
                              <w:rFonts w:hint="eastAsia" w:ascii="宋体" w:hAnsi="宋体" w:eastAsia="宋体"/>
                              <w:position w:val="-28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B236B">
                    <w:pPr>
                      <w:pStyle w:val="14"/>
                      <w:tabs>
                        <w:tab w:val="left" w:pos="2124"/>
                        <w:tab w:val="clear" w:pos="4153"/>
                      </w:tabs>
                      <w:spacing w:line="473" w:lineRule="auto"/>
                      <w:ind w:left="308" w:leftChars="100"/>
                      <w:jc w:val="left"/>
                    </w:pPr>
                    <w:r>
                      <w:rPr>
                        <w:rStyle w:val="22"/>
                        <w:rFonts w:hint="eastAsia" w:ascii="宋体" w:hAnsi="宋体" w:eastAsia="宋体"/>
                        <w:position w:val="-28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position w:val="-28"/>
                        <w:sz w:val="28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/>
                        <w:position w:val="-28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position w:val="-28"/>
                        <w:sz w:val="28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/>
                        <w:position w:val="-28"/>
                        <w:sz w:val="28"/>
                      </w:rPr>
                      <w:t>4</w:t>
                    </w:r>
                    <w:r>
                      <w:rPr>
                        <w:rFonts w:hint="eastAsia" w:ascii="宋体" w:hAnsi="宋体" w:eastAsia="宋体"/>
                        <w:position w:val="-28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position w:val="-28"/>
                        <w:sz w:val="28"/>
                      </w:rPr>
                      <w:t xml:space="preserve"> </w:t>
                    </w:r>
                    <w:r>
                      <w:rPr>
                        <w:rStyle w:val="22"/>
                        <w:rFonts w:hint="eastAsia" w:ascii="宋体" w:hAnsi="宋体" w:eastAsia="宋体"/>
                        <w:position w:val="-28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5AC58">
    <w:pPr>
      <w:pStyle w:val="1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6F408"/>
    <w:multiLevelType w:val="singleLevel"/>
    <w:tmpl w:val="8366F40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NzQ3MThhMjE3YThiNGIwODQzMWRhOWU4YzhlZDIifQ=="/>
  </w:docVars>
  <w:rsids>
    <w:rsidRoot w:val="00B86666"/>
    <w:rsid w:val="00002D96"/>
    <w:rsid w:val="00006F93"/>
    <w:rsid w:val="00017D5C"/>
    <w:rsid w:val="00067064"/>
    <w:rsid w:val="000743D3"/>
    <w:rsid w:val="00074493"/>
    <w:rsid w:val="000770AA"/>
    <w:rsid w:val="00087DDB"/>
    <w:rsid w:val="000A0656"/>
    <w:rsid w:val="000A48C2"/>
    <w:rsid w:val="000C0486"/>
    <w:rsid w:val="000C2B93"/>
    <w:rsid w:val="000C46F6"/>
    <w:rsid w:val="000D77DE"/>
    <w:rsid w:val="000E6ED3"/>
    <w:rsid w:val="000F183A"/>
    <w:rsid w:val="000F69A0"/>
    <w:rsid w:val="00102105"/>
    <w:rsid w:val="001229D0"/>
    <w:rsid w:val="00124CDD"/>
    <w:rsid w:val="00125CEE"/>
    <w:rsid w:val="00126378"/>
    <w:rsid w:val="001372A2"/>
    <w:rsid w:val="001378ED"/>
    <w:rsid w:val="0015157B"/>
    <w:rsid w:val="00153A93"/>
    <w:rsid w:val="0016000E"/>
    <w:rsid w:val="001661E1"/>
    <w:rsid w:val="00166765"/>
    <w:rsid w:val="001732DC"/>
    <w:rsid w:val="001759C1"/>
    <w:rsid w:val="00184EC7"/>
    <w:rsid w:val="0018514C"/>
    <w:rsid w:val="00187C40"/>
    <w:rsid w:val="0019244C"/>
    <w:rsid w:val="001B08F2"/>
    <w:rsid w:val="001B7C38"/>
    <w:rsid w:val="001C0D76"/>
    <w:rsid w:val="001D5336"/>
    <w:rsid w:val="001D6D09"/>
    <w:rsid w:val="001F13FE"/>
    <w:rsid w:val="001F2EAF"/>
    <w:rsid w:val="00201E9A"/>
    <w:rsid w:val="00226291"/>
    <w:rsid w:val="00254A69"/>
    <w:rsid w:val="00254E67"/>
    <w:rsid w:val="00256BFB"/>
    <w:rsid w:val="002670F8"/>
    <w:rsid w:val="002758F8"/>
    <w:rsid w:val="00282A98"/>
    <w:rsid w:val="002859B1"/>
    <w:rsid w:val="0028666B"/>
    <w:rsid w:val="00295EDE"/>
    <w:rsid w:val="002A11D8"/>
    <w:rsid w:val="002C53FF"/>
    <w:rsid w:val="002C6694"/>
    <w:rsid w:val="002D126E"/>
    <w:rsid w:val="002E020F"/>
    <w:rsid w:val="00301060"/>
    <w:rsid w:val="00303BE8"/>
    <w:rsid w:val="0031014B"/>
    <w:rsid w:val="00310C70"/>
    <w:rsid w:val="00324052"/>
    <w:rsid w:val="003301FF"/>
    <w:rsid w:val="00354A77"/>
    <w:rsid w:val="003577F3"/>
    <w:rsid w:val="0036672A"/>
    <w:rsid w:val="00372BDC"/>
    <w:rsid w:val="00381A76"/>
    <w:rsid w:val="00381D17"/>
    <w:rsid w:val="00390850"/>
    <w:rsid w:val="00396FD7"/>
    <w:rsid w:val="003A3402"/>
    <w:rsid w:val="003A45DD"/>
    <w:rsid w:val="003B39F5"/>
    <w:rsid w:val="003B594E"/>
    <w:rsid w:val="003D4062"/>
    <w:rsid w:val="003D56A9"/>
    <w:rsid w:val="003D65AE"/>
    <w:rsid w:val="003E16C2"/>
    <w:rsid w:val="003E73FD"/>
    <w:rsid w:val="003F13A5"/>
    <w:rsid w:val="003F377D"/>
    <w:rsid w:val="003F3793"/>
    <w:rsid w:val="003F3D23"/>
    <w:rsid w:val="003F53E5"/>
    <w:rsid w:val="003F5CD0"/>
    <w:rsid w:val="003F5D8E"/>
    <w:rsid w:val="0040311C"/>
    <w:rsid w:val="00403447"/>
    <w:rsid w:val="0040533A"/>
    <w:rsid w:val="00450D44"/>
    <w:rsid w:val="00456B3B"/>
    <w:rsid w:val="004579A7"/>
    <w:rsid w:val="00466663"/>
    <w:rsid w:val="00470283"/>
    <w:rsid w:val="00472E11"/>
    <w:rsid w:val="00491EC5"/>
    <w:rsid w:val="00495665"/>
    <w:rsid w:val="004B2746"/>
    <w:rsid w:val="004B475F"/>
    <w:rsid w:val="004B5473"/>
    <w:rsid w:val="004D033F"/>
    <w:rsid w:val="004D5DC6"/>
    <w:rsid w:val="004E0023"/>
    <w:rsid w:val="004E051C"/>
    <w:rsid w:val="004E1ABA"/>
    <w:rsid w:val="004E466E"/>
    <w:rsid w:val="00531CD6"/>
    <w:rsid w:val="005376EB"/>
    <w:rsid w:val="00541DF2"/>
    <w:rsid w:val="00543826"/>
    <w:rsid w:val="005439EC"/>
    <w:rsid w:val="00545DD0"/>
    <w:rsid w:val="0055344B"/>
    <w:rsid w:val="00562110"/>
    <w:rsid w:val="00577862"/>
    <w:rsid w:val="005841D8"/>
    <w:rsid w:val="005863B6"/>
    <w:rsid w:val="0058725D"/>
    <w:rsid w:val="005937D1"/>
    <w:rsid w:val="005A1F20"/>
    <w:rsid w:val="005B1777"/>
    <w:rsid w:val="005C02A3"/>
    <w:rsid w:val="005C5105"/>
    <w:rsid w:val="005E3EB5"/>
    <w:rsid w:val="005F1332"/>
    <w:rsid w:val="005F6E12"/>
    <w:rsid w:val="0060302E"/>
    <w:rsid w:val="0060372B"/>
    <w:rsid w:val="00606146"/>
    <w:rsid w:val="006107BA"/>
    <w:rsid w:val="006208AD"/>
    <w:rsid w:val="006217A9"/>
    <w:rsid w:val="006353E0"/>
    <w:rsid w:val="00643493"/>
    <w:rsid w:val="00647896"/>
    <w:rsid w:val="0065585B"/>
    <w:rsid w:val="006559F7"/>
    <w:rsid w:val="00665B00"/>
    <w:rsid w:val="00667901"/>
    <w:rsid w:val="006749AD"/>
    <w:rsid w:val="0067663E"/>
    <w:rsid w:val="006832B2"/>
    <w:rsid w:val="0069049E"/>
    <w:rsid w:val="006A4627"/>
    <w:rsid w:val="006B18A8"/>
    <w:rsid w:val="006D4300"/>
    <w:rsid w:val="006E1954"/>
    <w:rsid w:val="006F32D3"/>
    <w:rsid w:val="007035A3"/>
    <w:rsid w:val="00715A15"/>
    <w:rsid w:val="0071659D"/>
    <w:rsid w:val="00717CD4"/>
    <w:rsid w:val="0072081D"/>
    <w:rsid w:val="007321D5"/>
    <w:rsid w:val="007346BE"/>
    <w:rsid w:val="0074024D"/>
    <w:rsid w:val="00740E25"/>
    <w:rsid w:val="007605FB"/>
    <w:rsid w:val="00761E67"/>
    <w:rsid w:val="00775714"/>
    <w:rsid w:val="007824B1"/>
    <w:rsid w:val="00794A86"/>
    <w:rsid w:val="00794B8C"/>
    <w:rsid w:val="007A70FB"/>
    <w:rsid w:val="007C6312"/>
    <w:rsid w:val="007D4239"/>
    <w:rsid w:val="007E781E"/>
    <w:rsid w:val="007F01F5"/>
    <w:rsid w:val="007F02CC"/>
    <w:rsid w:val="007F0F79"/>
    <w:rsid w:val="007F1DF9"/>
    <w:rsid w:val="008011A9"/>
    <w:rsid w:val="00803714"/>
    <w:rsid w:val="0082733B"/>
    <w:rsid w:val="00833A51"/>
    <w:rsid w:val="00837680"/>
    <w:rsid w:val="008414C4"/>
    <w:rsid w:val="0085070E"/>
    <w:rsid w:val="00850D04"/>
    <w:rsid w:val="00863BE0"/>
    <w:rsid w:val="0087087C"/>
    <w:rsid w:val="008760D6"/>
    <w:rsid w:val="0088490A"/>
    <w:rsid w:val="00894C8A"/>
    <w:rsid w:val="008A07D7"/>
    <w:rsid w:val="008A1023"/>
    <w:rsid w:val="008C3C0C"/>
    <w:rsid w:val="008D28B1"/>
    <w:rsid w:val="008D7577"/>
    <w:rsid w:val="008D7A74"/>
    <w:rsid w:val="008E1DF1"/>
    <w:rsid w:val="008E62E9"/>
    <w:rsid w:val="008E6C97"/>
    <w:rsid w:val="008E707D"/>
    <w:rsid w:val="008F1729"/>
    <w:rsid w:val="008F48BD"/>
    <w:rsid w:val="008F65DC"/>
    <w:rsid w:val="0090319D"/>
    <w:rsid w:val="00905422"/>
    <w:rsid w:val="00905B89"/>
    <w:rsid w:val="00913BA7"/>
    <w:rsid w:val="009169C1"/>
    <w:rsid w:val="0091709D"/>
    <w:rsid w:val="00921A1C"/>
    <w:rsid w:val="00926607"/>
    <w:rsid w:val="00930F69"/>
    <w:rsid w:val="009335C2"/>
    <w:rsid w:val="00943B7D"/>
    <w:rsid w:val="00953BD3"/>
    <w:rsid w:val="00954FF6"/>
    <w:rsid w:val="00975325"/>
    <w:rsid w:val="00976A0D"/>
    <w:rsid w:val="00987DF3"/>
    <w:rsid w:val="009906DE"/>
    <w:rsid w:val="00993202"/>
    <w:rsid w:val="00995720"/>
    <w:rsid w:val="009A071B"/>
    <w:rsid w:val="009A1B38"/>
    <w:rsid w:val="009A47B1"/>
    <w:rsid w:val="009B1885"/>
    <w:rsid w:val="009B49C5"/>
    <w:rsid w:val="009B544E"/>
    <w:rsid w:val="009C3844"/>
    <w:rsid w:val="009D2369"/>
    <w:rsid w:val="009D3041"/>
    <w:rsid w:val="009E49FC"/>
    <w:rsid w:val="009F4D7B"/>
    <w:rsid w:val="009F7BA5"/>
    <w:rsid w:val="00A00CF8"/>
    <w:rsid w:val="00A04D49"/>
    <w:rsid w:val="00A16A99"/>
    <w:rsid w:val="00A176BC"/>
    <w:rsid w:val="00A25489"/>
    <w:rsid w:val="00A319FE"/>
    <w:rsid w:val="00A33F68"/>
    <w:rsid w:val="00A34AC4"/>
    <w:rsid w:val="00A40E4A"/>
    <w:rsid w:val="00A4391A"/>
    <w:rsid w:val="00A518A0"/>
    <w:rsid w:val="00A61A66"/>
    <w:rsid w:val="00A73A88"/>
    <w:rsid w:val="00A911E1"/>
    <w:rsid w:val="00A9470A"/>
    <w:rsid w:val="00AA67EA"/>
    <w:rsid w:val="00AB1AD0"/>
    <w:rsid w:val="00AC7148"/>
    <w:rsid w:val="00B059D5"/>
    <w:rsid w:val="00B11CA0"/>
    <w:rsid w:val="00B26448"/>
    <w:rsid w:val="00B51738"/>
    <w:rsid w:val="00B52E55"/>
    <w:rsid w:val="00B55578"/>
    <w:rsid w:val="00B60FC6"/>
    <w:rsid w:val="00B86666"/>
    <w:rsid w:val="00B874D7"/>
    <w:rsid w:val="00BA117E"/>
    <w:rsid w:val="00BA1704"/>
    <w:rsid w:val="00BA4A88"/>
    <w:rsid w:val="00BC173F"/>
    <w:rsid w:val="00BC36FB"/>
    <w:rsid w:val="00BC4021"/>
    <w:rsid w:val="00BC4023"/>
    <w:rsid w:val="00BC4805"/>
    <w:rsid w:val="00BC6287"/>
    <w:rsid w:val="00BD142B"/>
    <w:rsid w:val="00BD5AC9"/>
    <w:rsid w:val="00BD5F2C"/>
    <w:rsid w:val="00BD77C1"/>
    <w:rsid w:val="00BE40A2"/>
    <w:rsid w:val="00BF1D3E"/>
    <w:rsid w:val="00BF3E82"/>
    <w:rsid w:val="00BF6B25"/>
    <w:rsid w:val="00C0478C"/>
    <w:rsid w:val="00C13CB5"/>
    <w:rsid w:val="00C14E08"/>
    <w:rsid w:val="00C158C8"/>
    <w:rsid w:val="00C2185E"/>
    <w:rsid w:val="00C219F3"/>
    <w:rsid w:val="00C2376E"/>
    <w:rsid w:val="00C30BB1"/>
    <w:rsid w:val="00C3510C"/>
    <w:rsid w:val="00C538C3"/>
    <w:rsid w:val="00C6193B"/>
    <w:rsid w:val="00C64F1E"/>
    <w:rsid w:val="00C6624D"/>
    <w:rsid w:val="00C71A32"/>
    <w:rsid w:val="00C71B35"/>
    <w:rsid w:val="00C910D7"/>
    <w:rsid w:val="00C92C83"/>
    <w:rsid w:val="00CA114E"/>
    <w:rsid w:val="00CB3856"/>
    <w:rsid w:val="00CB45EE"/>
    <w:rsid w:val="00CD05DD"/>
    <w:rsid w:val="00CE42EC"/>
    <w:rsid w:val="00CE5AB2"/>
    <w:rsid w:val="00CF66AA"/>
    <w:rsid w:val="00D07F64"/>
    <w:rsid w:val="00D27951"/>
    <w:rsid w:val="00D357A6"/>
    <w:rsid w:val="00D439A3"/>
    <w:rsid w:val="00D469FB"/>
    <w:rsid w:val="00D61B5B"/>
    <w:rsid w:val="00D6521C"/>
    <w:rsid w:val="00D65B72"/>
    <w:rsid w:val="00D75239"/>
    <w:rsid w:val="00D81DDE"/>
    <w:rsid w:val="00D87BC8"/>
    <w:rsid w:val="00DA5EEE"/>
    <w:rsid w:val="00DB0CBB"/>
    <w:rsid w:val="00DC0FDF"/>
    <w:rsid w:val="00DD15F3"/>
    <w:rsid w:val="00DD355E"/>
    <w:rsid w:val="00DE2227"/>
    <w:rsid w:val="00DE7F7B"/>
    <w:rsid w:val="00E019B2"/>
    <w:rsid w:val="00E26EE9"/>
    <w:rsid w:val="00E27FD1"/>
    <w:rsid w:val="00E429F3"/>
    <w:rsid w:val="00E444A5"/>
    <w:rsid w:val="00E470F8"/>
    <w:rsid w:val="00E47C21"/>
    <w:rsid w:val="00E6763B"/>
    <w:rsid w:val="00E70DAD"/>
    <w:rsid w:val="00E94E83"/>
    <w:rsid w:val="00E9516E"/>
    <w:rsid w:val="00E95A72"/>
    <w:rsid w:val="00E9733E"/>
    <w:rsid w:val="00EA3ABF"/>
    <w:rsid w:val="00ED27F8"/>
    <w:rsid w:val="00EE6F4A"/>
    <w:rsid w:val="00EE722A"/>
    <w:rsid w:val="00EF181B"/>
    <w:rsid w:val="00F02F8D"/>
    <w:rsid w:val="00F10D30"/>
    <w:rsid w:val="00F139EF"/>
    <w:rsid w:val="00F238A4"/>
    <w:rsid w:val="00F3241D"/>
    <w:rsid w:val="00F63FB0"/>
    <w:rsid w:val="00F65638"/>
    <w:rsid w:val="00F70F9F"/>
    <w:rsid w:val="00F81AA5"/>
    <w:rsid w:val="00F8402F"/>
    <w:rsid w:val="00F8544E"/>
    <w:rsid w:val="00F93234"/>
    <w:rsid w:val="00F94BD3"/>
    <w:rsid w:val="00FA0865"/>
    <w:rsid w:val="00FA78C8"/>
    <w:rsid w:val="00FB1506"/>
    <w:rsid w:val="00FB1556"/>
    <w:rsid w:val="00FB54E7"/>
    <w:rsid w:val="00FC0F06"/>
    <w:rsid w:val="00FC295A"/>
    <w:rsid w:val="00FD1FB3"/>
    <w:rsid w:val="00FD311A"/>
    <w:rsid w:val="00FE2C66"/>
    <w:rsid w:val="00FE3DD4"/>
    <w:rsid w:val="05794364"/>
    <w:rsid w:val="0D3746F2"/>
    <w:rsid w:val="0D9409C8"/>
    <w:rsid w:val="102969E0"/>
    <w:rsid w:val="11C13283"/>
    <w:rsid w:val="12B44A05"/>
    <w:rsid w:val="12C54849"/>
    <w:rsid w:val="13E21B17"/>
    <w:rsid w:val="195B1D43"/>
    <w:rsid w:val="1B756998"/>
    <w:rsid w:val="1C773E1D"/>
    <w:rsid w:val="1E2C0752"/>
    <w:rsid w:val="201A2537"/>
    <w:rsid w:val="20384A18"/>
    <w:rsid w:val="20CD3E85"/>
    <w:rsid w:val="2F124686"/>
    <w:rsid w:val="30711E07"/>
    <w:rsid w:val="32140FA9"/>
    <w:rsid w:val="33BF2903"/>
    <w:rsid w:val="349C0F94"/>
    <w:rsid w:val="3C23510C"/>
    <w:rsid w:val="3DB62A76"/>
    <w:rsid w:val="3E392539"/>
    <w:rsid w:val="43DA006B"/>
    <w:rsid w:val="45252F0E"/>
    <w:rsid w:val="490745D9"/>
    <w:rsid w:val="4C9E7302"/>
    <w:rsid w:val="4D8C414F"/>
    <w:rsid w:val="511C729C"/>
    <w:rsid w:val="52337926"/>
    <w:rsid w:val="55733C40"/>
    <w:rsid w:val="5E594CFA"/>
    <w:rsid w:val="63872AE1"/>
    <w:rsid w:val="64D51B5A"/>
    <w:rsid w:val="65C75843"/>
    <w:rsid w:val="66DA5708"/>
    <w:rsid w:val="71DE35C0"/>
    <w:rsid w:val="73DA4BFF"/>
    <w:rsid w:val="762B6648"/>
    <w:rsid w:val="776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link w:val="28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link w:val="27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3">
    <w:name w:val="Balloon Text"/>
    <w:basedOn w:val="1"/>
    <w:link w:val="25"/>
    <w:qFormat/>
    <w:uiPriority w:val="0"/>
    <w:rPr>
      <w:sz w:val="18"/>
      <w:szCs w:val="18"/>
    </w:rPr>
  </w:style>
  <w:style w:type="paragraph" w:styleId="1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7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页眉 字符"/>
    <w:basedOn w:val="21"/>
    <w:link w:val="15"/>
    <w:qFormat/>
    <w:uiPriority w:val="0"/>
    <w:rPr>
      <w:kern w:val="2"/>
      <w:sz w:val="18"/>
      <w:szCs w:val="18"/>
    </w:rPr>
  </w:style>
  <w:style w:type="character" w:customStyle="1" w:styleId="24">
    <w:name w:val="页脚 字符"/>
    <w:basedOn w:val="21"/>
    <w:link w:val="14"/>
    <w:qFormat/>
    <w:uiPriority w:val="0"/>
    <w:rPr>
      <w:kern w:val="2"/>
      <w:sz w:val="18"/>
      <w:szCs w:val="18"/>
    </w:rPr>
  </w:style>
  <w:style w:type="character" w:customStyle="1" w:styleId="25">
    <w:name w:val="批注框文本 字符"/>
    <w:basedOn w:val="21"/>
    <w:link w:val="13"/>
    <w:qFormat/>
    <w:uiPriority w:val="0"/>
    <w:rPr>
      <w:kern w:val="2"/>
      <w:sz w:val="18"/>
      <w:szCs w:val="18"/>
    </w:rPr>
  </w:style>
  <w:style w:type="character" w:customStyle="1" w:styleId="26">
    <w:name w:val="日期 字符"/>
    <w:basedOn w:val="21"/>
    <w:link w:val="12"/>
    <w:qFormat/>
    <w:uiPriority w:val="0"/>
    <w:rPr>
      <w:kern w:val="2"/>
      <w:sz w:val="21"/>
      <w:szCs w:val="24"/>
    </w:rPr>
  </w:style>
  <w:style w:type="character" w:customStyle="1" w:styleId="27">
    <w:name w:val="正文文本 字符"/>
    <w:basedOn w:val="21"/>
    <w:link w:val="11"/>
    <w:qFormat/>
    <w:uiPriority w:val="0"/>
    <w:rPr>
      <w:rFonts w:eastAsia="仿宋_GB2312"/>
      <w:kern w:val="2"/>
      <w:sz w:val="32"/>
      <w:szCs w:val="24"/>
    </w:rPr>
  </w:style>
  <w:style w:type="character" w:customStyle="1" w:styleId="28">
    <w:name w:val="标题 1 字符"/>
    <w:basedOn w:val="21"/>
    <w:link w:val="2"/>
    <w:qFormat/>
    <w:uiPriority w:val="0"/>
    <w:rPr>
      <w:b/>
      <w:bCs/>
      <w:kern w:val="44"/>
      <w:sz w:val="44"/>
      <w:szCs w:val="44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14916-8EB2-4251-AFAF-3FA6FABCC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2742</Words>
  <Characters>3147</Characters>
  <Lines>22</Lines>
  <Paragraphs>6</Paragraphs>
  <TotalTime>12</TotalTime>
  <ScaleCrop>false</ScaleCrop>
  <LinksUpToDate>false</LinksUpToDate>
  <CharactersWithSpaces>3162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2025-04-15T06:37:00Z</dcterms:created>
  <dc:creator>Hou Tianbo Ipad</dc:creator>
  <cp:lastModifiedBy>JC.大鹏</cp:lastModifiedBy>
  <cp:lastPrinted>2025-07-07T00:48:00Z</cp:lastPrinted>
  <dcterms:modified xsi:type="dcterms:W3CDTF">2025-07-10T08:38:05Z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CF7A3C9515654A888AB64AD5F3E4966D_13</vt:lpwstr>
  </property>
  <property fmtid="{D5CDD505-2E9C-101B-9397-08002B2CF9AE}" pid="4" name="KSOTemplateDocerSaveRecord">
    <vt:lpwstr>eyJoZGlkIjoiOTViZWQ0ZjgzOWM2YzljYjMwNzJmMzYwOTE3MWEzNWEiLCJ1c2VySWQiOiI4NDc5MjU5NzEifQ==</vt:lpwstr>
  </property>
</Properties>
</file>